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707F" w14:textId="77777777" w:rsidR="00093870" w:rsidRDefault="00093870" w:rsidP="00093870">
      <w:pPr>
        <w:pStyle w:val="StGen0"/>
        <w:rPr>
          <w:sz w:val="22"/>
          <w:szCs w:val="22"/>
        </w:rPr>
      </w:pPr>
      <w:bookmarkStart w:id="0" w:name="_Hlk230975581"/>
      <w:r>
        <w:rPr>
          <w:sz w:val="22"/>
          <w:szCs w:val="22"/>
        </w:rPr>
        <w:t>Договор о задатке №____</w:t>
      </w:r>
    </w:p>
    <w:p w14:paraId="08C7ABC1" w14:textId="77777777" w:rsidR="00093870" w:rsidRDefault="00093870" w:rsidP="00093870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F14C900" w14:textId="77777777" w:rsidR="00093870" w:rsidRDefault="00093870" w:rsidP="00093870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B70068E" w14:textId="77777777" w:rsidR="00093870" w:rsidRDefault="00093870" w:rsidP="00093870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3B82B4F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 xml:space="preserve">5 (пяти) земельных участков, расположенных по адресу: Краснодарский край, г. Краснодар, </w:t>
      </w:r>
      <w:r>
        <w:rPr>
          <w:rFonts w:cs="Times New Roman"/>
          <w:sz w:val="22"/>
          <w:szCs w:val="22"/>
        </w:rPr>
        <w:t>кадастровые номера 23:43:0303002:10, 23:43:0303002:11, 23:43:0303002:12, 23:43:0303002:13, 23:43:0303002:21,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2B62589B" w14:textId="77777777" w:rsidR="00093870" w:rsidRDefault="00093870" w:rsidP="0009387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6EE0327" w14:textId="77777777" w:rsidR="00093870" w:rsidRDefault="00093870" w:rsidP="0009387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23FBEEFF" w14:textId="77777777" w:rsidR="00093870" w:rsidRDefault="00093870" w:rsidP="0009387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30C81FC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1E34FC0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776339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47265FD1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2636B429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BAA5D91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71D440E4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Сроки и порядок возврата суммы задатка, внесенного Претендентом на счет Оператора </w:t>
      </w:r>
      <w:proofErr w:type="gramStart"/>
      <w:r>
        <w:rPr>
          <w:rFonts w:cs="Times New Roman"/>
          <w:sz w:val="22"/>
          <w:szCs w:val="22"/>
        </w:rPr>
        <w:t>электронной площадки</w:t>
      </w:r>
      <w:proofErr w:type="gramEnd"/>
      <w:r>
        <w:rPr>
          <w:rFonts w:cs="Times New Roman"/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76CA5406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B066B48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1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1"/>
      <w:r>
        <w:rPr>
          <w:rFonts w:cs="Times New Roman"/>
          <w:sz w:val="22"/>
          <w:szCs w:val="22"/>
        </w:rPr>
        <w:t xml:space="preserve"> аукциона.</w:t>
      </w:r>
    </w:p>
    <w:p w14:paraId="504E81CC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ED64460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D0A0BD7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574FF69" w14:textId="77777777" w:rsidR="00093870" w:rsidRDefault="00093870" w:rsidP="0009387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247743DA" w14:textId="77777777" w:rsidR="00093870" w:rsidRDefault="00093870" w:rsidP="00093870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0E72BA78" w14:textId="77777777" w:rsidR="00093870" w:rsidRDefault="00093870" w:rsidP="00093870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626850E1" w14:textId="77777777" w:rsidR="00093870" w:rsidRDefault="00093870" w:rsidP="00093870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093870" w14:paraId="52F12C29" w14:textId="77777777" w:rsidTr="00FB7E23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F3A5EC" w14:textId="77777777" w:rsidR="00093870" w:rsidRDefault="00093870" w:rsidP="00FB7E2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C3134EF" w14:textId="77777777" w:rsidR="00093870" w:rsidRDefault="00093870" w:rsidP="00FB7E2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66C8ABBC" w14:textId="77777777" w:rsidR="00093870" w:rsidRDefault="00093870" w:rsidP="00FB7E2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3B712F40" w14:textId="77777777" w:rsidR="00093870" w:rsidRDefault="00093870" w:rsidP="00FB7E23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02E8FEF" w14:textId="77777777" w:rsidR="00093870" w:rsidRDefault="00093870" w:rsidP="00FB7E2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15546399" w14:textId="77777777" w:rsidR="00093870" w:rsidRDefault="00093870" w:rsidP="00FB7E2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617D98A8" w14:textId="77777777" w:rsidR="00093870" w:rsidRDefault="00093870" w:rsidP="00FB7E2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2A565675" w14:textId="77777777" w:rsidR="00093870" w:rsidRDefault="00093870" w:rsidP="00FB7E2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D3F81FF" w14:textId="77777777" w:rsidR="00093870" w:rsidRDefault="00093870" w:rsidP="00FB7E2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2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186AF605" w14:textId="77777777" w:rsidR="00093870" w:rsidRDefault="00093870" w:rsidP="00FB7E2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5A6CE43F" w14:textId="77777777" w:rsidR="00093870" w:rsidRDefault="00093870" w:rsidP="00FB7E2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1E7D3B33" w14:textId="77777777" w:rsidR="00093870" w:rsidRDefault="00093870" w:rsidP="00FB7E2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4554E619" w14:textId="77777777" w:rsidR="00093870" w:rsidRDefault="00093870" w:rsidP="00FB7E2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2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0C2D5D" w14:textId="77777777" w:rsidR="00093870" w:rsidRDefault="00093870" w:rsidP="00FB7E23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53249" w14:textId="77777777" w:rsidR="00093870" w:rsidRDefault="00093870" w:rsidP="00FB7E2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56D6EAC4" w14:textId="77777777" w:rsidR="00093870" w:rsidRDefault="00093870" w:rsidP="00FB7E2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0DF94FA7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071631B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8F3C772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B372294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D364A27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6C79177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12426CC" w14:textId="77777777" w:rsidR="00093870" w:rsidRDefault="00093870" w:rsidP="00FB7E2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93808C0" w14:textId="77777777" w:rsidR="00093870" w:rsidRDefault="00093870" w:rsidP="00093870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45B457C9" w14:textId="77777777" w:rsidR="00093870" w:rsidRDefault="00093870" w:rsidP="00093870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3298900A" w14:textId="77777777" w:rsidR="00093870" w:rsidRDefault="00093870" w:rsidP="0009387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21DA9731" w14:textId="77777777" w:rsidR="00093870" w:rsidRDefault="00093870" w:rsidP="00093870">
      <w:pPr>
        <w:rPr>
          <w:rFonts w:cs="Times New Roman"/>
          <w:sz w:val="22"/>
          <w:szCs w:val="22"/>
        </w:rPr>
      </w:pPr>
    </w:p>
    <w:p w14:paraId="59E6F82F" w14:textId="77777777" w:rsidR="00093870" w:rsidRDefault="00093870" w:rsidP="00093870">
      <w:pPr>
        <w:rPr>
          <w:rFonts w:cs="Times New Roman"/>
          <w:sz w:val="22"/>
          <w:szCs w:val="22"/>
        </w:rPr>
      </w:pPr>
    </w:p>
    <w:bookmarkEnd w:id="0"/>
    <w:p w14:paraId="0CCC048F" w14:textId="77777777" w:rsidR="00093870" w:rsidRDefault="00093870" w:rsidP="00093870">
      <w:pPr>
        <w:ind w:firstLine="708"/>
        <w:rPr>
          <w:rFonts w:cs="Times New Roman"/>
          <w:b/>
          <w:sz w:val="22"/>
          <w:szCs w:val="22"/>
        </w:rPr>
      </w:pPr>
    </w:p>
    <w:p w14:paraId="09D7A17E" w14:textId="77777777" w:rsidR="00093870" w:rsidRDefault="00093870" w:rsidP="00093870">
      <w:pPr>
        <w:rPr>
          <w:rFonts w:cs="Times New Roman"/>
          <w:b/>
          <w:sz w:val="22"/>
          <w:szCs w:val="22"/>
        </w:rPr>
      </w:pPr>
    </w:p>
    <w:p w14:paraId="3A45D086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5960" w14:textId="77777777" w:rsidR="00774BA0" w:rsidRDefault="00774BA0" w:rsidP="00093870">
      <w:r>
        <w:separator/>
      </w:r>
    </w:p>
  </w:endnote>
  <w:endnote w:type="continuationSeparator" w:id="0">
    <w:p w14:paraId="1563422D" w14:textId="77777777" w:rsidR="00774BA0" w:rsidRDefault="00774BA0" w:rsidP="0009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AEEF" w14:textId="77777777" w:rsidR="00774BA0" w:rsidRDefault="00774BA0" w:rsidP="00093870">
      <w:r>
        <w:separator/>
      </w:r>
    </w:p>
  </w:footnote>
  <w:footnote w:type="continuationSeparator" w:id="0">
    <w:p w14:paraId="1B4AF2E1" w14:textId="77777777" w:rsidR="00774BA0" w:rsidRDefault="00774BA0" w:rsidP="00093870">
      <w:r>
        <w:continuationSeparator/>
      </w:r>
    </w:p>
  </w:footnote>
  <w:footnote w:id="1">
    <w:p w14:paraId="305B1373" w14:textId="77777777" w:rsidR="00093870" w:rsidRDefault="00093870" w:rsidP="00093870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38"/>
    <w:rsid w:val="00093870"/>
    <w:rsid w:val="00274F44"/>
    <w:rsid w:val="002E38E5"/>
    <w:rsid w:val="003366C0"/>
    <w:rsid w:val="004579B7"/>
    <w:rsid w:val="005D5338"/>
    <w:rsid w:val="0077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5F0B4-2466-4AAF-A5BE-4FE96472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870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33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3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33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33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33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33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33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33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33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3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3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33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33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33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53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33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D53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33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53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33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093870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093870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093870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093870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093870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2026-07-15T07:53:00Z</dcterms:created>
  <dcterms:modified xsi:type="dcterms:W3CDTF">2026-07-15T07:53:00Z</dcterms:modified>
</cp:coreProperties>
</file>